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2E07C" w14:textId="77777777" w:rsidR="00837033" w:rsidRDefault="00837033" w:rsidP="00837033">
      <w:pPr>
        <w:autoSpaceDE w:val="0"/>
        <w:autoSpaceDN w:val="0"/>
        <w:adjustRightInd w:val="0"/>
        <w:spacing w:after="0" w:line="240" w:lineRule="auto"/>
        <w:jc w:val="both"/>
        <w:rPr>
          <w:rFonts w:ascii="Times New Roman" w:eastAsia="Aptos" w:hAnsi="Times New Roman" w:cs="Times New Roman"/>
          <w:lang w:val="pl-PL"/>
          <w14:ligatures w14:val="none"/>
        </w:rPr>
      </w:pPr>
      <w:r>
        <w:rPr>
          <w:rFonts w:ascii="Times New Roman" w:eastAsia="Aptos" w:hAnsi="Times New Roman" w:cs="Times New Roman"/>
          <w:lang w:val="pl-PL"/>
          <w14:ligatures w14:val="none"/>
        </w:rPr>
        <w:t>Załącznik Nr 20</w:t>
      </w:r>
    </w:p>
    <w:p w14:paraId="162ADE66" w14:textId="77777777" w:rsidR="00837033" w:rsidRDefault="00837033" w:rsidP="00837033">
      <w:pPr>
        <w:autoSpaceDE w:val="0"/>
        <w:autoSpaceDN w:val="0"/>
        <w:adjustRightInd w:val="0"/>
        <w:spacing w:after="0" w:line="240" w:lineRule="auto"/>
        <w:jc w:val="both"/>
        <w:rPr>
          <w:rFonts w:ascii="Times New Roman" w:eastAsia="Aptos" w:hAnsi="Times New Roman" w:cs="Times New Roman"/>
          <w:lang w:val="pl-PL"/>
          <w14:ligatures w14:val="none"/>
        </w:rPr>
      </w:pPr>
    </w:p>
    <w:p w14:paraId="05A2B185" w14:textId="77777777" w:rsidR="00837033" w:rsidRPr="009D62D6" w:rsidRDefault="00837033" w:rsidP="00837033">
      <w:pPr>
        <w:spacing w:after="0" w:line="240" w:lineRule="auto"/>
        <w:jc w:val="both"/>
        <w:rPr>
          <w:rFonts w:ascii="Times New Roman" w:eastAsia="Aptos" w:hAnsi="Times New Roman" w:cs="Times New Roman"/>
          <w:lang w:val="pl-PL"/>
          <w14:ligatures w14:val="none"/>
        </w:rPr>
      </w:pPr>
      <w:r w:rsidRPr="009D62D6">
        <w:rPr>
          <w:rFonts w:ascii="Times New Roman" w:eastAsia="Aptos" w:hAnsi="Times New Roman" w:cs="Times New Roman"/>
          <w:lang w:val="pl-PL"/>
          <w14:ligatures w14:val="none"/>
        </w:rPr>
        <w:t>Przygotowane przez grupę posłów i uchwalone przez Sejm w dniu 24 lipca 2024 r. ustawa o Trybunale Konstytucyjnym (druk 254) oraz ustawa – przepisy wprowadzające ustawę o Trybunale Konstytucyjnym (druk nr 253)</w:t>
      </w:r>
      <w:r>
        <w:rPr>
          <w:rFonts w:ascii="Times New Roman" w:eastAsia="Aptos" w:hAnsi="Times New Roman" w:cs="Times New Roman"/>
          <w:lang w:val="pl-PL"/>
          <w14:ligatures w14:val="none"/>
        </w:rPr>
        <w:t xml:space="preserve"> </w:t>
      </w:r>
      <w:r w:rsidRPr="009D62D6">
        <w:rPr>
          <w:rFonts w:ascii="Times New Roman" w:eastAsia="Aptos" w:hAnsi="Times New Roman" w:cs="Times New Roman"/>
          <w:lang w:val="pl-PL"/>
          <w14:ligatures w14:val="none"/>
        </w:rPr>
        <w:t xml:space="preserve">zawierają kompleksową regulację ustrojową dot. Trybunału Konstytucyjnego. W stosunku do obecnego stanu prawnego wprowadzają następujące najważniejsze rozwiązania: </w:t>
      </w:r>
    </w:p>
    <w:p w14:paraId="4D80F336" w14:textId="77777777" w:rsidR="00837033" w:rsidRPr="009D62D6" w:rsidRDefault="00837033" w:rsidP="00837033">
      <w:pPr>
        <w:numPr>
          <w:ilvl w:val="0"/>
          <w:numId w:val="1"/>
        </w:numPr>
        <w:spacing w:after="0" w:line="240" w:lineRule="auto"/>
        <w:jc w:val="both"/>
        <w:rPr>
          <w:rFonts w:ascii="Times New Roman" w:eastAsia="Aptos" w:hAnsi="Times New Roman" w:cs="Times New Roman"/>
          <w:lang w:val="pl-PL"/>
          <w14:ligatures w14:val="none"/>
        </w:rPr>
      </w:pPr>
      <w:r w:rsidRPr="009D62D6">
        <w:rPr>
          <w:rFonts w:ascii="Times New Roman" w:eastAsia="Aptos" w:hAnsi="Times New Roman" w:cs="Times New Roman"/>
          <w:lang w:val="pl-PL"/>
          <w14:ligatures w14:val="none"/>
        </w:rPr>
        <w:t>TK będzie obowiązany badać z urzędu w każdej sprawie kontrolę zgodności z Konstytucją trybu wydania kwestionowanego aktu normatywnego (procedura uchwalania). Będzie to miało szczególne znaczenie w przypadku kodeksów i ustaw nowelizujących kodeksy, w przypadku których regulamin Sejmu przewiduje szczególny tryb procedowania, w tym minimalne terminy, które należy zachować;</w:t>
      </w:r>
    </w:p>
    <w:p w14:paraId="66FF4BC9" w14:textId="77777777" w:rsidR="00837033" w:rsidRPr="009D62D6" w:rsidRDefault="00837033" w:rsidP="00837033">
      <w:pPr>
        <w:numPr>
          <w:ilvl w:val="0"/>
          <w:numId w:val="1"/>
        </w:numPr>
        <w:spacing w:after="0" w:line="240" w:lineRule="auto"/>
        <w:jc w:val="both"/>
        <w:rPr>
          <w:rFonts w:ascii="Times New Roman" w:eastAsia="Aptos" w:hAnsi="Times New Roman" w:cs="Times New Roman"/>
          <w:lang w:val="pl-PL"/>
          <w14:ligatures w14:val="none"/>
        </w:rPr>
      </w:pPr>
      <w:r w:rsidRPr="009D62D6">
        <w:rPr>
          <w:rFonts w:ascii="Times New Roman" w:eastAsia="Aptos" w:hAnsi="Times New Roman" w:cs="Times New Roman"/>
          <w:lang w:val="pl-PL"/>
          <w14:ligatures w14:val="none"/>
        </w:rPr>
        <w:t>nałożenie na TK obowiązku wystąpienia z pytaniem prejudycjalnym do Trybunału Sprawiedliwości Unii w wypadku o którym mowa w art. 267 Traktatu o funkcjonowaniu UE (powzięcie wątpliwości co do wykładni przepisów prawa europejskiego);</w:t>
      </w:r>
    </w:p>
    <w:p w14:paraId="6B0B50CF" w14:textId="77777777" w:rsidR="00837033" w:rsidRPr="009D62D6" w:rsidRDefault="00837033" w:rsidP="00837033">
      <w:pPr>
        <w:numPr>
          <w:ilvl w:val="0"/>
          <w:numId w:val="1"/>
        </w:numPr>
        <w:spacing w:after="0" w:line="240" w:lineRule="auto"/>
        <w:jc w:val="both"/>
        <w:rPr>
          <w:rFonts w:ascii="Times New Roman" w:eastAsia="Aptos" w:hAnsi="Times New Roman" w:cs="Times New Roman"/>
          <w:lang w:val="pl-PL"/>
          <w14:ligatures w14:val="none"/>
        </w:rPr>
      </w:pPr>
      <w:r w:rsidRPr="009D62D6">
        <w:rPr>
          <w:rFonts w:ascii="Times New Roman" w:eastAsia="Aptos" w:hAnsi="Times New Roman" w:cs="Times New Roman"/>
          <w:lang w:val="pl-PL"/>
          <w14:ligatures w14:val="none"/>
        </w:rPr>
        <w:t>na stanowisko sędziego Trybunału będzie mogła być wybrana osoba w wieku od 40 do 70 lat, która wyróżnia się wiedzą prawniczą. Osoba, która sprawowała mandat posła, senatora, posła do Parlamentu Europejskiego lub wchodziła w skład Rady Ministrów, może kandydować na stanowisko sędziego Trybunału, jeżeli od wygaśnięcia mandatu lub zakończenia pełnienia funkcji członka Rady Ministrów upłynęły co najmniej cztery lata;</w:t>
      </w:r>
    </w:p>
    <w:p w14:paraId="2C27F988" w14:textId="77777777" w:rsidR="00837033" w:rsidRPr="009D62D6" w:rsidRDefault="00837033" w:rsidP="00837033">
      <w:pPr>
        <w:numPr>
          <w:ilvl w:val="0"/>
          <w:numId w:val="1"/>
        </w:numPr>
        <w:spacing w:after="0" w:line="240" w:lineRule="auto"/>
        <w:jc w:val="both"/>
        <w:rPr>
          <w:rFonts w:ascii="Times New Roman" w:eastAsia="Aptos" w:hAnsi="Times New Roman" w:cs="Times New Roman"/>
          <w:lang w:val="pl-PL"/>
          <w14:ligatures w14:val="none"/>
        </w:rPr>
      </w:pPr>
      <w:r w:rsidRPr="009D62D6">
        <w:rPr>
          <w:rFonts w:ascii="Times New Roman" w:eastAsia="Aptos" w:hAnsi="Times New Roman" w:cs="Times New Roman"/>
          <w:lang w:val="pl-PL"/>
          <w14:ligatures w14:val="none"/>
        </w:rPr>
        <w:t>wprowadzenie zasady, że wszystkie sprawy zawisłe przed TK powinny być rozpatrywane na otwartej rozprawie;</w:t>
      </w:r>
    </w:p>
    <w:p w14:paraId="149C9247" w14:textId="77777777" w:rsidR="00837033" w:rsidRPr="009D62D6" w:rsidRDefault="00837033" w:rsidP="00837033">
      <w:pPr>
        <w:numPr>
          <w:ilvl w:val="0"/>
          <w:numId w:val="1"/>
        </w:numPr>
        <w:spacing w:after="0" w:line="240" w:lineRule="auto"/>
        <w:jc w:val="both"/>
        <w:rPr>
          <w:rFonts w:ascii="Times New Roman" w:eastAsia="Aptos" w:hAnsi="Times New Roman" w:cs="Times New Roman"/>
          <w:lang w:val="pl-PL"/>
          <w14:ligatures w14:val="none"/>
        </w:rPr>
      </w:pPr>
      <w:r w:rsidRPr="009D62D6">
        <w:rPr>
          <w:rFonts w:ascii="Times New Roman" w:eastAsia="Aptos" w:hAnsi="Times New Roman" w:cs="Times New Roman"/>
          <w:lang w:val="pl-PL"/>
          <w14:ligatures w14:val="none"/>
        </w:rPr>
        <w:t>wprowadzenie obowiązku zwoływania Zgromadzenia Ogólnego Sędziów TK co najmniej raz w miesiącu;</w:t>
      </w:r>
    </w:p>
    <w:p w14:paraId="55A4664A" w14:textId="77777777" w:rsidR="00837033" w:rsidRPr="009D62D6" w:rsidRDefault="00837033" w:rsidP="00837033">
      <w:pPr>
        <w:numPr>
          <w:ilvl w:val="0"/>
          <w:numId w:val="1"/>
        </w:numPr>
        <w:spacing w:after="0" w:line="240" w:lineRule="auto"/>
        <w:jc w:val="both"/>
        <w:rPr>
          <w:rFonts w:ascii="Times New Roman" w:eastAsia="Aptos" w:hAnsi="Times New Roman" w:cs="Times New Roman"/>
          <w:lang w:val="pl-PL"/>
          <w14:ligatures w14:val="none"/>
        </w:rPr>
      </w:pPr>
      <w:r w:rsidRPr="009D62D6">
        <w:rPr>
          <w:rFonts w:ascii="Times New Roman" w:eastAsia="Aptos" w:hAnsi="Times New Roman" w:cs="Times New Roman"/>
          <w:lang w:val="pl-PL"/>
          <w14:ligatures w14:val="none"/>
        </w:rPr>
        <w:t>doprecyzowanie zasad wyboru prezesa – wprowadzenie 3-letniej kadencji;</w:t>
      </w:r>
    </w:p>
    <w:p w14:paraId="1EF4FD13" w14:textId="77777777" w:rsidR="00837033" w:rsidRPr="009D62D6" w:rsidRDefault="00837033" w:rsidP="00837033">
      <w:pPr>
        <w:numPr>
          <w:ilvl w:val="0"/>
          <w:numId w:val="1"/>
        </w:numPr>
        <w:spacing w:after="0" w:line="240" w:lineRule="auto"/>
        <w:jc w:val="both"/>
        <w:rPr>
          <w:rFonts w:ascii="Times New Roman" w:eastAsia="Aptos" w:hAnsi="Times New Roman" w:cs="Times New Roman"/>
          <w:lang w:val="pl-PL"/>
          <w14:ligatures w14:val="none"/>
        </w:rPr>
      </w:pPr>
      <w:r w:rsidRPr="009D62D6">
        <w:rPr>
          <w:rFonts w:ascii="Times New Roman" w:eastAsia="Aptos" w:hAnsi="Times New Roman" w:cs="Times New Roman"/>
          <w:lang w:val="pl-PL"/>
          <w14:ligatures w14:val="none"/>
        </w:rPr>
        <w:t>wprowadzenie zasady powoływania sędziów TK większością 3/5 głosów w obecności co najmniej połowy ustawowej liczby posłów;</w:t>
      </w:r>
    </w:p>
    <w:p w14:paraId="379D93BA" w14:textId="77777777" w:rsidR="00837033" w:rsidRPr="009D62D6" w:rsidRDefault="00837033" w:rsidP="00837033">
      <w:pPr>
        <w:numPr>
          <w:ilvl w:val="0"/>
          <w:numId w:val="1"/>
        </w:numPr>
        <w:spacing w:after="0" w:line="240" w:lineRule="auto"/>
        <w:jc w:val="both"/>
        <w:rPr>
          <w:rFonts w:ascii="Times New Roman" w:eastAsia="Aptos" w:hAnsi="Times New Roman" w:cs="Times New Roman"/>
          <w:lang w:val="pl-PL"/>
          <w14:ligatures w14:val="none"/>
        </w:rPr>
      </w:pPr>
      <w:r w:rsidRPr="009D62D6">
        <w:rPr>
          <w:rFonts w:ascii="Times New Roman" w:eastAsia="Aptos" w:hAnsi="Times New Roman" w:cs="Times New Roman"/>
          <w:lang w:val="pl-PL"/>
          <w14:ligatures w14:val="none"/>
        </w:rPr>
        <w:t xml:space="preserve">rozszerzenie kręgu podmiotów uprawnionych do zgłaszania kandydatów na sędziów TK (np. Zgromadzenie Ogólne Sędziów SN i NSA, KIRP, NRA); </w:t>
      </w:r>
    </w:p>
    <w:p w14:paraId="33390789" w14:textId="77777777" w:rsidR="00837033" w:rsidRPr="009D62D6" w:rsidRDefault="00837033" w:rsidP="00837033">
      <w:pPr>
        <w:numPr>
          <w:ilvl w:val="0"/>
          <w:numId w:val="1"/>
        </w:numPr>
        <w:spacing w:after="0" w:line="240" w:lineRule="auto"/>
        <w:jc w:val="both"/>
        <w:rPr>
          <w:rFonts w:ascii="Times New Roman" w:eastAsia="Aptos" w:hAnsi="Times New Roman" w:cs="Times New Roman"/>
          <w:lang w:val="pl-PL"/>
          <w14:ligatures w14:val="none"/>
        </w:rPr>
      </w:pPr>
      <w:r w:rsidRPr="009D62D6">
        <w:rPr>
          <w:rFonts w:ascii="Times New Roman" w:eastAsia="Aptos" w:hAnsi="Times New Roman" w:cs="Times New Roman"/>
          <w:lang w:val="pl-PL"/>
          <w14:ligatures w14:val="none"/>
        </w:rPr>
        <w:t xml:space="preserve">wprowadzenie obowiązku przyjęcia ślubowania od sędziego TK wybranego przez Sejm w określonym terminie. </w:t>
      </w:r>
    </w:p>
    <w:p w14:paraId="2DE2D8C1" w14:textId="77777777" w:rsidR="00837033" w:rsidRPr="009D62D6" w:rsidRDefault="00837033" w:rsidP="00837033">
      <w:pPr>
        <w:spacing w:after="0" w:line="240" w:lineRule="auto"/>
        <w:jc w:val="both"/>
        <w:rPr>
          <w:rFonts w:ascii="Times New Roman" w:eastAsia="Aptos" w:hAnsi="Times New Roman" w:cs="Times New Roman"/>
          <w:lang w:val="pl-PL"/>
          <w14:ligatures w14:val="none"/>
        </w:rPr>
      </w:pPr>
      <w:r w:rsidRPr="009D62D6">
        <w:rPr>
          <w:rFonts w:ascii="Times New Roman" w:eastAsia="Aptos" w:hAnsi="Times New Roman" w:cs="Times New Roman"/>
          <w:lang w:val="pl-PL"/>
          <w14:ligatures w14:val="none"/>
        </w:rPr>
        <w:t xml:space="preserve">W ustawie przepisy wprowadzające ustawę o TK przewidziano podstawowy przepis o nieważności orzeczeń wydanych przez niewłaściwie obsadzone składy TK (art. 9 ust 1 i 2), jednocześnie przewidując w ust. 4, że orzeczenia sądowe i ostateczne decyzje administracyjne prawomocne w chwili wejścia w życie ustawy, wydane w sprawach indywidualnych, na podstawie stanu prawnego ukształtowanego wyrokiem nieprawidłowo obsadzonego składu TK, pozostają w mocy. Jest to przepis, który ma na celu ochronę obywateli w ich w sprawach indywidualnych, w wyniku których często uzyskali jakieś przysporzenie (w szczególności jeśli rozstrzygnięcie zapadło na skutek wniesienia skargi konstytucyjnej). </w:t>
      </w:r>
    </w:p>
    <w:p w14:paraId="72A2309D" w14:textId="77777777" w:rsidR="00837033" w:rsidRPr="009D62D6" w:rsidRDefault="00837033" w:rsidP="00837033">
      <w:pPr>
        <w:spacing w:after="0" w:line="240" w:lineRule="auto"/>
        <w:jc w:val="both"/>
        <w:rPr>
          <w:rFonts w:ascii="Times New Roman" w:eastAsia="Aptos" w:hAnsi="Times New Roman" w:cs="Times New Roman"/>
          <w:lang w:val="pl-PL"/>
          <w14:ligatures w14:val="none"/>
        </w:rPr>
      </w:pPr>
      <w:r w:rsidRPr="009D62D6">
        <w:rPr>
          <w:rFonts w:ascii="Times New Roman" w:eastAsia="Aptos" w:hAnsi="Times New Roman" w:cs="Times New Roman"/>
          <w:lang w:val="pl-PL"/>
          <w14:ligatures w14:val="none"/>
        </w:rPr>
        <w:t xml:space="preserve">Nową ustawę o TK, jak i przepisy ją wprowadzające Sejm wraz z poprawkami Senatu przyjął w połowie września 2024 r. </w:t>
      </w:r>
    </w:p>
    <w:p w14:paraId="532FE255" w14:textId="77777777" w:rsidR="00837033" w:rsidRPr="009D62D6" w:rsidRDefault="00837033" w:rsidP="00837033">
      <w:pPr>
        <w:spacing w:after="0" w:line="240" w:lineRule="auto"/>
        <w:jc w:val="both"/>
        <w:rPr>
          <w:rFonts w:ascii="Times New Roman" w:eastAsia="Aptos" w:hAnsi="Times New Roman" w:cs="Times New Roman"/>
          <w:lang w:val="pl-PL"/>
          <w14:ligatures w14:val="none"/>
        </w:rPr>
      </w:pPr>
      <w:r w:rsidRPr="009D62D6">
        <w:rPr>
          <w:rFonts w:ascii="Times New Roman" w:eastAsia="Aptos" w:hAnsi="Times New Roman" w:cs="Times New Roman"/>
          <w:lang w:val="pl-PL"/>
          <w14:ligatures w14:val="none"/>
        </w:rPr>
        <w:t xml:space="preserve">Na początku października 2024 r. Prezydent Rzeczypospolitej Polskiej skierował przedmiotowe ustawy do organu niezdolnego do wypełniania konstytucyjnych zadań Trybunału Konstytucyjnego, wskazując, że kieruje ww. ustawy do Trybunału Konstytucyjnego „w trybie kontroli prewencyjnej”. </w:t>
      </w:r>
    </w:p>
    <w:p w14:paraId="1C206AE0" w14:textId="77777777" w:rsidR="00A4043E" w:rsidRPr="00837033" w:rsidRDefault="00A4043E">
      <w:pPr>
        <w:rPr>
          <w:lang w:val="pl-PL"/>
        </w:rPr>
      </w:pPr>
    </w:p>
    <w:sectPr w:rsidR="00A4043E" w:rsidRPr="008370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6659B7"/>
    <w:multiLevelType w:val="hybridMultilevel"/>
    <w:tmpl w:val="2F240344"/>
    <w:lvl w:ilvl="0" w:tplc="D898F8D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9611519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033"/>
    <w:rsid w:val="003048F7"/>
    <w:rsid w:val="00674D0F"/>
    <w:rsid w:val="00837033"/>
    <w:rsid w:val="00A4043E"/>
    <w:rsid w:val="00B2491A"/>
    <w:rsid w:val="00EE242B"/>
    <w:rsid w:val="00EF54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CDDD2"/>
  <w15:chartTrackingRefBased/>
  <w15:docId w15:val="{E3F6006E-012D-4B1B-8CDC-5492A6655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7033"/>
    <w:rPr>
      <w:lang w:val="en-US"/>
    </w:rPr>
  </w:style>
  <w:style w:type="paragraph" w:styleId="Nagwek1">
    <w:name w:val="heading 1"/>
    <w:basedOn w:val="Normalny"/>
    <w:next w:val="Normalny"/>
    <w:link w:val="Nagwek1Znak"/>
    <w:uiPriority w:val="9"/>
    <w:qFormat/>
    <w:rsid w:val="0083703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83703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837033"/>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837033"/>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837033"/>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837033"/>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37033"/>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37033"/>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37033"/>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37033"/>
    <w:rPr>
      <w:rFonts w:asciiTheme="majorHAnsi" w:eastAsiaTheme="majorEastAsia" w:hAnsiTheme="majorHAnsi" w:cstheme="majorBidi"/>
      <w:color w:val="0F4761" w:themeColor="accent1" w:themeShade="BF"/>
      <w:sz w:val="40"/>
      <w:szCs w:val="40"/>
      <w:lang w:val="en-US"/>
    </w:rPr>
  </w:style>
  <w:style w:type="character" w:customStyle="1" w:styleId="Nagwek2Znak">
    <w:name w:val="Nagłówek 2 Znak"/>
    <w:basedOn w:val="Domylnaczcionkaakapitu"/>
    <w:link w:val="Nagwek2"/>
    <w:uiPriority w:val="9"/>
    <w:semiHidden/>
    <w:rsid w:val="00837033"/>
    <w:rPr>
      <w:rFonts w:asciiTheme="majorHAnsi" w:eastAsiaTheme="majorEastAsia" w:hAnsiTheme="majorHAnsi" w:cstheme="majorBidi"/>
      <w:color w:val="0F4761" w:themeColor="accent1" w:themeShade="BF"/>
      <w:sz w:val="32"/>
      <w:szCs w:val="32"/>
      <w:lang w:val="en-US"/>
    </w:rPr>
  </w:style>
  <w:style w:type="character" w:customStyle="1" w:styleId="Nagwek3Znak">
    <w:name w:val="Nagłówek 3 Znak"/>
    <w:basedOn w:val="Domylnaczcionkaakapitu"/>
    <w:link w:val="Nagwek3"/>
    <w:uiPriority w:val="9"/>
    <w:semiHidden/>
    <w:rsid w:val="00837033"/>
    <w:rPr>
      <w:rFonts w:eastAsiaTheme="majorEastAsia" w:cstheme="majorBidi"/>
      <w:color w:val="0F4761" w:themeColor="accent1" w:themeShade="BF"/>
      <w:sz w:val="28"/>
      <w:szCs w:val="28"/>
      <w:lang w:val="en-US"/>
    </w:rPr>
  </w:style>
  <w:style w:type="character" w:customStyle="1" w:styleId="Nagwek4Znak">
    <w:name w:val="Nagłówek 4 Znak"/>
    <w:basedOn w:val="Domylnaczcionkaakapitu"/>
    <w:link w:val="Nagwek4"/>
    <w:uiPriority w:val="9"/>
    <w:semiHidden/>
    <w:rsid w:val="00837033"/>
    <w:rPr>
      <w:rFonts w:eastAsiaTheme="majorEastAsia" w:cstheme="majorBidi"/>
      <w:i/>
      <w:iCs/>
      <w:color w:val="0F4761" w:themeColor="accent1" w:themeShade="BF"/>
      <w:lang w:val="en-US"/>
    </w:rPr>
  </w:style>
  <w:style w:type="character" w:customStyle="1" w:styleId="Nagwek5Znak">
    <w:name w:val="Nagłówek 5 Znak"/>
    <w:basedOn w:val="Domylnaczcionkaakapitu"/>
    <w:link w:val="Nagwek5"/>
    <w:uiPriority w:val="9"/>
    <w:semiHidden/>
    <w:rsid w:val="00837033"/>
    <w:rPr>
      <w:rFonts w:eastAsiaTheme="majorEastAsia" w:cstheme="majorBidi"/>
      <w:color w:val="0F4761" w:themeColor="accent1" w:themeShade="BF"/>
      <w:lang w:val="en-US"/>
    </w:rPr>
  </w:style>
  <w:style w:type="character" w:customStyle="1" w:styleId="Nagwek6Znak">
    <w:name w:val="Nagłówek 6 Znak"/>
    <w:basedOn w:val="Domylnaczcionkaakapitu"/>
    <w:link w:val="Nagwek6"/>
    <w:uiPriority w:val="9"/>
    <w:semiHidden/>
    <w:rsid w:val="00837033"/>
    <w:rPr>
      <w:rFonts w:eastAsiaTheme="majorEastAsia" w:cstheme="majorBidi"/>
      <w:i/>
      <w:iCs/>
      <w:color w:val="595959" w:themeColor="text1" w:themeTint="A6"/>
      <w:lang w:val="en-US"/>
    </w:rPr>
  </w:style>
  <w:style w:type="character" w:customStyle="1" w:styleId="Nagwek7Znak">
    <w:name w:val="Nagłówek 7 Znak"/>
    <w:basedOn w:val="Domylnaczcionkaakapitu"/>
    <w:link w:val="Nagwek7"/>
    <w:uiPriority w:val="9"/>
    <w:semiHidden/>
    <w:rsid w:val="00837033"/>
    <w:rPr>
      <w:rFonts w:eastAsiaTheme="majorEastAsia" w:cstheme="majorBidi"/>
      <w:color w:val="595959" w:themeColor="text1" w:themeTint="A6"/>
      <w:lang w:val="en-US"/>
    </w:rPr>
  </w:style>
  <w:style w:type="character" w:customStyle="1" w:styleId="Nagwek8Znak">
    <w:name w:val="Nagłówek 8 Znak"/>
    <w:basedOn w:val="Domylnaczcionkaakapitu"/>
    <w:link w:val="Nagwek8"/>
    <w:uiPriority w:val="9"/>
    <w:semiHidden/>
    <w:rsid w:val="00837033"/>
    <w:rPr>
      <w:rFonts w:eastAsiaTheme="majorEastAsia" w:cstheme="majorBidi"/>
      <w:i/>
      <w:iCs/>
      <w:color w:val="272727" w:themeColor="text1" w:themeTint="D8"/>
      <w:lang w:val="en-US"/>
    </w:rPr>
  </w:style>
  <w:style w:type="character" w:customStyle="1" w:styleId="Nagwek9Znak">
    <w:name w:val="Nagłówek 9 Znak"/>
    <w:basedOn w:val="Domylnaczcionkaakapitu"/>
    <w:link w:val="Nagwek9"/>
    <w:uiPriority w:val="9"/>
    <w:semiHidden/>
    <w:rsid w:val="00837033"/>
    <w:rPr>
      <w:rFonts w:eastAsiaTheme="majorEastAsia" w:cstheme="majorBidi"/>
      <w:color w:val="272727" w:themeColor="text1" w:themeTint="D8"/>
      <w:lang w:val="en-US"/>
    </w:rPr>
  </w:style>
  <w:style w:type="paragraph" w:styleId="Tytu">
    <w:name w:val="Title"/>
    <w:basedOn w:val="Normalny"/>
    <w:next w:val="Normalny"/>
    <w:link w:val="TytuZnak"/>
    <w:uiPriority w:val="10"/>
    <w:qFormat/>
    <w:rsid w:val="0083703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37033"/>
    <w:rPr>
      <w:rFonts w:asciiTheme="majorHAnsi" w:eastAsiaTheme="majorEastAsia" w:hAnsiTheme="majorHAnsi" w:cstheme="majorBidi"/>
      <w:spacing w:val="-10"/>
      <w:kern w:val="28"/>
      <w:sz w:val="56"/>
      <w:szCs w:val="56"/>
      <w:lang w:val="en-US"/>
    </w:rPr>
  </w:style>
  <w:style w:type="paragraph" w:styleId="Podtytu">
    <w:name w:val="Subtitle"/>
    <w:basedOn w:val="Normalny"/>
    <w:next w:val="Normalny"/>
    <w:link w:val="PodtytuZnak"/>
    <w:uiPriority w:val="11"/>
    <w:qFormat/>
    <w:rsid w:val="0083703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37033"/>
    <w:rPr>
      <w:rFonts w:eastAsiaTheme="majorEastAsia" w:cstheme="majorBidi"/>
      <w:color w:val="595959" w:themeColor="text1" w:themeTint="A6"/>
      <w:spacing w:val="15"/>
      <w:sz w:val="28"/>
      <w:szCs w:val="28"/>
      <w:lang w:val="en-US"/>
    </w:rPr>
  </w:style>
  <w:style w:type="paragraph" w:styleId="Cytat">
    <w:name w:val="Quote"/>
    <w:basedOn w:val="Normalny"/>
    <w:next w:val="Normalny"/>
    <w:link w:val="CytatZnak"/>
    <w:uiPriority w:val="29"/>
    <w:qFormat/>
    <w:rsid w:val="00837033"/>
    <w:pPr>
      <w:spacing w:before="160"/>
      <w:jc w:val="center"/>
    </w:pPr>
    <w:rPr>
      <w:i/>
      <w:iCs/>
      <w:color w:val="404040" w:themeColor="text1" w:themeTint="BF"/>
    </w:rPr>
  </w:style>
  <w:style w:type="character" w:customStyle="1" w:styleId="CytatZnak">
    <w:name w:val="Cytat Znak"/>
    <w:basedOn w:val="Domylnaczcionkaakapitu"/>
    <w:link w:val="Cytat"/>
    <w:uiPriority w:val="29"/>
    <w:rsid w:val="00837033"/>
    <w:rPr>
      <w:i/>
      <w:iCs/>
      <w:color w:val="404040" w:themeColor="text1" w:themeTint="BF"/>
      <w:lang w:val="en-US"/>
    </w:rPr>
  </w:style>
  <w:style w:type="paragraph" w:styleId="Akapitzlist">
    <w:name w:val="List Paragraph"/>
    <w:basedOn w:val="Normalny"/>
    <w:uiPriority w:val="34"/>
    <w:qFormat/>
    <w:rsid w:val="00837033"/>
    <w:pPr>
      <w:ind w:left="720"/>
      <w:contextualSpacing/>
    </w:pPr>
  </w:style>
  <w:style w:type="character" w:styleId="Wyrnienieintensywne">
    <w:name w:val="Intense Emphasis"/>
    <w:basedOn w:val="Domylnaczcionkaakapitu"/>
    <w:uiPriority w:val="21"/>
    <w:qFormat/>
    <w:rsid w:val="00837033"/>
    <w:rPr>
      <w:i/>
      <w:iCs/>
      <w:color w:val="0F4761" w:themeColor="accent1" w:themeShade="BF"/>
    </w:rPr>
  </w:style>
  <w:style w:type="paragraph" w:styleId="Cytatintensywny">
    <w:name w:val="Intense Quote"/>
    <w:basedOn w:val="Normalny"/>
    <w:next w:val="Normalny"/>
    <w:link w:val="CytatintensywnyZnak"/>
    <w:uiPriority w:val="30"/>
    <w:qFormat/>
    <w:rsid w:val="0083703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837033"/>
    <w:rPr>
      <w:i/>
      <w:iCs/>
      <w:color w:val="0F4761" w:themeColor="accent1" w:themeShade="BF"/>
      <w:lang w:val="en-US"/>
    </w:rPr>
  </w:style>
  <w:style w:type="character" w:styleId="Odwoanieintensywne">
    <w:name w:val="Intense Reference"/>
    <w:basedOn w:val="Domylnaczcionkaakapitu"/>
    <w:uiPriority w:val="32"/>
    <w:qFormat/>
    <w:rsid w:val="0083703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446</Words>
  <Characters>2679</Characters>
  <Application>Microsoft Office Word</Application>
  <DocSecurity>0</DocSecurity>
  <Lines>22</Lines>
  <Paragraphs>6</Paragraphs>
  <ScaleCrop>false</ScaleCrop>
  <Company/>
  <LinksUpToDate>false</LinksUpToDate>
  <CharactersWithSpaces>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Charkiewicz Piotr  (DWMPC)</dc:creator>
  <cp:keywords/>
  <dc:description/>
  <cp:lastModifiedBy>Charkiewicz Piotr  (DWMPC)</cp:lastModifiedBy>
  <cp:revision>1</cp:revision>
  <dcterms:created xsi:type="dcterms:W3CDTF">2025-11-17T09:41:00Z</dcterms:created>
  <dcterms:modified xsi:type="dcterms:W3CDTF">2025-11-17T09:41:00Z</dcterms:modified>
</cp:coreProperties>
</file>